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09061">
      <w:pPr>
        <w:widowControl/>
        <w:spacing w:line="360" w:lineRule="auto"/>
        <w:jc w:val="left"/>
        <w:rPr>
          <w:rFonts w:hint="eastAsia" w:ascii="黑体" w:hAnsi="黑体" w:eastAsia="黑体" w:cs="黑体"/>
          <w:color w:val="auto"/>
          <w:kern w:val="0"/>
          <w:sz w:val="30"/>
          <w:szCs w:val="30"/>
        </w:rPr>
      </w:pPr>
      <w:bookmarkStart w:id="0" w:name="_GoBack"/>
      <w:r>
        <w:rPr>
          <w:rFonts w:hint="eastAsia" w:ascii="黑体" w:hAnsi="黑体" w:eastAsia="黑体" w:cs="黑体"/>
          <w:color w:val="auto"/>
          <w:sz w:val="30"/>
          <w:szCs w:val="30"/>
        </w:rPr>
        <w:t>附件1</w:t>
      </w:r>
    </w:p>
    <w:bookmarkEnd w:id="0"/>
    <w:p w14:paraId="3291C97E">
      <w:pPr>
        <w:spacing w:line="700" w:lineRule="exact"/>
        <w:jc w:val="center"/>
        <w:rPr>
          <w:rFonts w:ascii="Times New Roman" w:hAnsi="Times New Roman" w:eastAsia="微软雅黑"/>
          <w:b w:val="0"/>
          <w:bCs w:val="0"/>
          <w:color w:val="auto"/>
          <w:sz w:val="44"/>
          <w:szCs w:val="44"/>
        </w:rPr>
      </w:pPr>
      <w:r>
        <w:rPr>
          <w:rFonts w:hint="eastAsia" w:ascii="方正小标宋简体" w:hAnsi="方正小标宋简体" w:eastAsia="方正小标宋简体" w:cs="方正小标宋简体"/>
          <w:b w:val="0"/>
          <w:bCs w:val="0"/>
          <w:color w:val="auto"/>
          <w:spacing w:val="1"/>
          <w:w w:val="85"/>
          <w:kern w:val="0"/>
          <w:sz w:val="44"/>
          <w:szCs w:val="44"/>
          <w:fitText w:val="8844" w:id="361527659"/>
          <w:lang w:val="en-US" w:eastAsia="zh-CN"/>
        </w:rPr>
        <w:t>益阳市融资担保有限责任公司2025年公开招聘计划</w:t>
      </w:r>
      <w:r>
        <w:rPr>
          <w:rFonts w:hint="eastAsia" w:ascii="方正小标宋简体" w:hAnsi="方正小标宋简体" w:eastAsia="方正小标宋简体" w:cs="方正小标宋简体"/>
          <w:b w:val="0"/>
          <w:bCs w:val="0"/>
          <w:color w:val="auto"/>
          <w:spacing w:val="16"/>
          <w:w w:val="85"/>
          <w:kern w:val="0"/>
          <w:sz w:val="44"/>
          <w:szCs w:val="44"/>
          <w:fitText w:val="8844" w:id="361527659"/>
          <w:lang w:val="en-US" w:eastAsia="zh-CN"/>
        </w:rPr>
        <w:t>表</w:t>
      </w:r>
    </w:p>
    <w:p w14:paraId="6153B4F6">
      <w:pPr>
        <w:spacing w:line="420" w:lineRule="exact"/>
        <w:jc w:val="center"/>
        <w:rPr>
          <w:rFonts w:ascii="Times New Roman" w:hAnsi="Times New Roman" w:eastAsia="仿宋"/>
          <w:color w:val="auto"/>
          <w:sz w:val="15"/>
          <w:szCs w:val="15"/>
        </w:rPr>
      </w:pPr>
    </w:p>
    <w:tbl>
      <w:tblPr>
        <w:tblStyle w:val="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921"/>
        <w:gridCol w:w="613"/>
        <w:gridCol w:w="698"/>
        <w:gridCol w:w="962"/>
        <w:gridCol w:w="1254"/>
        <w:gridCol w:w="4362"/>
      </w:tblGrid>
      <w:tr w14:paraId="1F83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47" w:type="dxa"/>
            <w:shd w:val="clear" w:color="auto" w:fill="auto"/>
            <w:vAlign w:val="center"/>
          </w:tcPr>
          <w:p w14:paraId="5877D7F0">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921" w:type="dxa"/>
            <w:shd w:val="clear" w:color="auto" w:fill="auto"/>
            <w:vAlign w:val="center"/>
          </w:tcPr>
          <w:p w14:paraId="1A62A5B3">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岗位</w:t>
            </w:r>
          </w:p>
          <w:p w14:paraId="6A5EBEF2">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名称</w:t>
            </w:r>
          </w:p>
        </w:tc>
        <w:tc>
          <w:tcPr>
            <w:tcW w:w="613" w:type="dxa"/>
            <w:shd w:val="clear" w:color="auto" w:fill="auto"/>
            <w:vAlign w:val="center"/>
          </w:tcPr>
          <w:p w14:paraId="24A25AAB">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人数</w:t>
            </w:r>
          </w:p>
        </w:tc>
        <w:tc>
          <w:tcPr>
            <w:tcW w:w="698" w:type="dxa"/>
            <w:vAlign w:val="center"/>
          </w:tcPr>
          <w:p w14:paraId="1CED4AB6">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性别要求</w:t>
            </w:r>
          </w:p>
        </w:tc>
        <w:tc>
          <w:tcPr>
            <w:tcW w:w="962" w:type="dxa"/>
            <w:shd w:val="clear" w:color="auto" w:fill="auto"/>
            <w:vAlign w:val="center"/>
          </w:tcPr>
          <w:p w14:paraId="4413BE3C">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学历</w:t>
            </w:r>
          </w:p>
        </w:tc>
        <w:tc>
          <w:tcPr>
            <w:tcW w:w="1254" w:type="dxa"/>
            <w:shd w:val="clear" w:color="auto" w:fill="auto"/>
            <w:vAlign w:val="center"/>
          </w:tcPr>
          <w:p w14:paraId="176AAFC5">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专业</w:t>
            </w:r>
          </w:p>
        </w:tc>
        <w:tc>
          <w:tcPr>
            <w:tcW w:w="4362" w:type="dxa"/>
            <w:shd w:val="clear" w:color="auto" w:fill="auto"/>
            <w:vAlign w:val="center"/>
          </w:tcPr>
          <w:p w14:paraId="7CE4CB5D">
            <w:pPr>
              <w:widowControl/>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岗位要求</w:t>
            </w:r>
          </w:p>
        </w:tc>
      </w:tr>
      <w:tr w14:paraId="73FD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647" w:type="dxa"/>
            <w:shd w:val="clear" w:color="auto" w:fill="auto"/>
            <w:vAlign w:val="center"/>
          </w:tcPr>
          <w:p w14:paraId="55E75E4E">
            <w:pPr>
              <w:widowControl/>
              <w:spacing w:line="30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921" w:type="dxa"/>
            <w:shd w:val="clear" w:color="auto" w:fill="auto"/>
            <w:vAlign w:val="center"/>
          </w:tcPr>
          <w:p w14:paraId="0DF70060">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业务岗</w:t>
            </w:r>
          </w:p>
        </w:tc>
        <w:tc>
          <w:tcPr>
            <w:tcW w:w="613" w:type="dxa"/>
            <w:shd w:val="clear" w:color="auto" w:fill="auto"/>
            <w:vAlign w:val="center"/>
          </w:tcPr>
          <w:p w14:paraId="4143D344">
            <w:pPr>
              <w:widowControl/>
              <w:spacing w:line="300" w:lineRule="exact"/>
              <w:jc w:val="center"/>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lang w:val="en-US" w:eastAsia="zh-CN"/>
              </w:rPr>
              <w:t>5</w:t>
            </w:r>
          </w:p>
        </w:tc>
        <w:tc>
          <w:tcPr>
            <w:tcW w:w="698" w:type="dxa"/>
            <w:vAlign w:val="center"/>
          </w:tcPr>
          <w:p w14:paraId="0EE5C6C3">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不限</w:t>
            </w:r>
          </w:p>
        </w:tc>
        <w:tc>
          <w:tcPr>
            <w:tcW w:w="962" w:type="dxa"/>
            <w:shd w:val="clear" w:color="auto" w:fill="auto"/>
            <w:vAlign w:val="center"/>
          </w:tcPr>
          <w:p w14:paraId="6AB796A1">
            <w:pPr>
              <w:widowControl/>
              <w:spacing w:line="30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本科及以上</w:t>
            </w:r>
          </w:p>
        </w:tc>
        <w:tc>
          <w:tcPr>
            <w:tcW w:w="1254" w:type="dxa"/>
            <w:shd w:val="clear" w:color="auto" w:fill="auto"/>
            <w:vAlign w:val="center"/>
          </w:tcPr>
          <w:p w14:paraId="0DB1333D">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财务、金融类相关专业</w:t>
            </w:r>
          </w:p>
        </w:tc>
        <w:tc>
          <w:tcPr>
            <w:tcW w:w="4362" w:type="dxa"/>
            <w:shd w:val="clear" w:color="auto" w:fill="auto"/>
            <w:vAlign w:val="center"/>
          </w:tcPr>
          <w:p w14:paraId="4C074AF0">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1、具备较强的财务专业知识，熟悉企业融资有关政策及实务操作；</w:t>
            </w:r>
          </w:p>
          <w:p w14:paraId="16EB36FB">
            <w:pPr>
              <w:widowControl/>
              <w:spacing w:line="300" w:lineRule="exact"/>
              <w:ind w:left="374" w:leftChars="0" w:hanging="374" w:hangingChars="156"/>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2、具有担保机构3年以上从业经验或金融机构5年以上从业经验（具有硕士研究生及以上学历或中级及以上会计专业职称或注册会计师证书，可适当放宽）；</w:t>
            </w:r>
          </w:p>
          <w:p w14:paraId="01EA6892">
            <w:pPr>
              <w:widowControl/>
              <w:spacing w:line="300" w:lineRule="exact"/>
              <w:ind w:left="374" w:leftChars="0" w:hanging="374" w:hangingChars="156"/>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3、年龄在35周岁及以下，硕士研究生及以上学历可放宽至40周岁;</w:t>
            </w:r>
          </w:p>
          <w:p w14:paraId="171E8ACD">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4、因岗位需要经常出差，适合男性。</w:t>
            </w:r>
          </w:p>
        </w:tc>
      </w:tr>
      <w:tr w14:paraId="0338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647" w:type="dxa"/>
            <w:shd w:val="clear" w:color="auto" w:fill="auto"/>
            <w:vAlign w:val="center"/>
          </w:tcPr>
          <w:p w14:paraId="7520B3AC">
            <w:pPr>
              <w:widowControl/>
              <w:spacing w:line="300" w:lineRule="exact"/>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921" w:type="dxa"/>
            <w:shd w:val="clear" w:color="auto" w:fill="auto"/>
            <w:vAlign w:val="center"/>
          </w:tcPr>
          <w:p w14:paraId="3FEEF7F7">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纪检监察岗</w:t>
            </w:r>
          </w:p>
        </w:tc>
        <w:tc>
          <w:tcPr>
            <w:tcW w:w="613" w:type="dxa"/>
            <w:shd w:val="clear" w:color="auto" w:fill="auto"/>
            <w:vAlign w:val="center"/>
          </w:tcPr>
          <w:p w14:paraId="188DC8AF">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698" w:type="dxa"/>
            <w:vAlign w:val="center"/>
          </w:tcPr>
          <w:p w14:paraId="7CEA2953">
            <w:pPr>
              <w:widowControl/>
              <w:spacing w:line="300" w:lineRule="exact"/>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不限</w:t>
            </w:r>
          </w:p>
        </w:tc>
        <w:tc>
          <w:tcPr>
            <w:tcW w:w="962" w:type="dxa"/>
            <w:shd w:val="clear" w:color="auto" w:fill="auto"/>
            <w:vAlign w:val="center"/>
          </w:tcPr>
          <w:p w14:paraId="0E7685C2">
            <w:pPr>
              <w:widowControl/>
              <w:spacing w:line="300" w:lineRule="exact"/>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rPr>
              <w:t>本科及以上</w:t>
            </w:r>
          </w:p>
        </w:tc>
        <w:tc>
          <w:tcPr>
            <w:tcW w:w="1254" w:type="dxa"/>
            <w:shd w:val="clear" w:color="auto" w:fill="auto"/>
            <w:vAlign w:val="center"/>
          </w:tcPr>
          <w:p w14:paraId="7956E7B2">
            <w:pPr>
              <w:widowControl/>
              <w:spacing w:line="300" w:lineRule="exact"/>
              <w:jc w:val="center"/>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财务、会计、审计、法学类、经济类、金融类相关专业</w:t>
            </w:r>
          </w:p>
        </w:tc>
        <w:tc>
          <w:tcPr>
            <w:tcW w:w="4362" w:type="dxa"/>
            <w:shd w:val="clear" w:color="auto" w:fill="auto"/>
            <w:vAlign w:val="center"/>
          </w:tcPr>
          <w:p w14:paraId="5F273100">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1、中共党员（含预备党员）；</w:t>
            </w:r>
          </w:p>
          <w:p w14:paraId="0D044A15">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2、具有良好的政治理论水平，扎实的文字综合能力，熟悉纪检相关知识；</w:t>
            </w:r>
          </w:p>
          <w:p w14:paraId="58F925F9">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3、年龄在35周岁及以下，硕士研究生及以上学历可放宽至40周岁。</w:t>
            </w:r>
          </w:p>
        </w:tc>
      </w:tr>
      <w:tr w14:paraId="6880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647" w:type="dxa"/>
            <w:shd w:val="clear" w:color="auto" w:fill="auto"/>
            <w:vAlign w:val="center"/>
          </w:tcPr>
          <w:p w14:paraId="70BD28C6">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921" w:type="dxa"/>
            <w:shd w:val="clear" w:color="auto" w:fill="auto"/>
            <w:vAlign w:val="center"/>
          </w:tcPr>
          <w:p w14:paraId="557AE20B">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会计岗</w:t>
            </w:r>
          </w:p>
        </w:tc>
        <w:tc>
          <w:tcPr>
            <w:tcW w:w="613" w:type="dxa"/>
            <w:shd w:val="clear" w:color="auto" w:fill="auto"/>
            <w:vAlign w:val="center"/>
          </w:tcPr>
          <w:p w14:paraId="483B4E2E">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w:t>
            </w:r>
          </w:p>
        </w:tc>
        <w:tc>
          <w:tcPr>
            <w:tcW w:w="698" w:type="dxa"/>
            <w:vAlign w:val="center"/>
          </w:tcPr>
          <w:p w14:paraId="51C8A029">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不限</w:t>
            </w:r>
          </w:p>
        </w:tc>
        <w:tc>
          <w:tcPr>
            <w:tcW w:w="962" w:type="dxa"/>
            <w:shd w:val="clear" w:color="auto" w:fill="auto"/>
            <w:vAlign w:val="center"/>
          </w:tcPr>
          <w:p w14:paraId="2061A738">
            <w:pPr>
              <w:widowControl/>
              <w:spacing w:line="300" w:lineRule="exact"/>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本科及以上</w:t>
            </w:r>
          </w:p>
        </w:tc>
        <w:tc>
          <w:tcPr>
            <w:tcW w:w="1254" w:type="dxa"/>
            <w:shd w:val="clear" w:color="auto" w:fill="auto"/>
            <w:vAlign w:val="center"/>
          </w:tcPr>
          <w:p w14:paraId="3676B726">
            <w:pPr>
              <w:widowControl/>
              <w:spacing w:line="300" w:lineRule="exact"/>
              <w:jc w:val="center"/>
              <w:rPr>
                <w:rFonts w:hint="default"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rPr>
              <w:t>财务、会计相关专业</w:t>
            </w:r>
          </w:p>
        </w:tc>
        <w:tc>
          <w:tcPr>
            <w:tcW w:w="4362" w:type="dxa"/>
            <w:shd w:val="clear" w:color="auto" w:fill="auto"/>
            <w:vAlign w:val="center"/>
          </w:tcPr>
          <w:p w14:paraId="37199D89">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1、具备较强的财务专业知识，熟悉会计法规和财务操作流程，能独立编制企业财务报表；</w:t>
            </w:r>
          </w:p>
          <w:p w14:paraId="44DEBDEC">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2、具有中级及以上会计专业技术资格证；</w:t>
            </w:r>
          </w:p>
          <w:p w14:paraId="6E3FB50F">
            <w:pPr>
              <w:widowControl/>
              <w:spacing w:line="300" w:lineRule="exact"/>
              <w:ind w:left="374" w:leftChars="0" w:hanging="374" w:hangingChars="156"/>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3、具有机关企事业单位或会计师事务所等3年以上会计从业经验（具有硕士研究生及以上学历或高级会计专业职称或注册会计师证书，可适当放宽）；</w:t>
            </w:r>
          </w:p>
          <w:p w14:paraId="2D912A65">
            <w:pPr>
              <w:widowControl/>
              <w:spacing w:line="300" w:lineRule="exact"/>
              <w:ind w:left="374" w:leftChars="0" w:hanging="374" w:hangingChars="156"/>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4、年龄在35周岁及以下，硕士研究生及以上学历可放宽至40周岁。</w:t>
            </w:r>
          </w:p>
        </w:tc>
      </w:tr>
    </w:tbl>
    <w:p w14:paraId="7A65C8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A2C812-7B08-44A3-8061-E8B20543E4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4A4A54-B093-4D85-B665-E049430C0F00}"/>
  </w:font>
  <w:font w:name="微软雅黑">
    <w:panose1 w:val="020B0503020204020204"/>
    <w:charset w:val="86"/>
    <w:family w:val="auto"/>
    <w:pitch w:val="default"/>
    <w:sig w:usb0="80000287" w:usb1="2ACF3C50" w:usb2="00000016" w:usb3="00000000" w:csb0="0004001F" w:csb1="00000000"/>
    <w:embedRegular r:id="rId3" w:fontKey="{CB3AA7FE-0F48-45F8-914F-C59D06BFDBE7}"/>
  </w:font>
  <w:font w:name="方正小标宋简体">
    <w:panose1 w:val="02010600010101010101"/>
    <w:charset w:val="86"/>
    <w:family w:val="auto"/>
    <w:pitch w:val="default"/>
    <w:sig w:usb0="00000001" w:usb1="080E0000" w:usb2="00000000" w:usb3="00000000" w:csb0="00040000" w:csb1="00000000"/>
    <w:embedRegular r:id="rId4" w:fontKey="{05169413-D8F9-4630-9885-494A0739FF51}"/>
  </w:font>
  <w:font w:name="仿宋">
    <w:panose1 w:val="02010609060101010101"/>
    <w:charset w:val="86"/>
    <w:family w:val="modern"/>
    <w:pitch w:val="default"/>
    <w:sig w:usb0="800002BF" w:usb1="38CF7CFA" w:usb2="00000016" w:usb3="00000000" w:csb0="00040001" w:csb1="00000000"/>
    <w:embedRegular r:id="rId5" w:fontKey="{659E0756-5312-48CC-AAE2-710A1201A1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C365A"/>
    <w:rsid w:val="599D2616"/>
    <w:rsid w:val="5F8E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2025-07-21T00:46:26Z</dcterms:created>
  <dc:creator>LJ</dc:creator>
  <cp:lastModifiedBy>海洋饼干</cp:lastModifiedBy>
  <dcterms:modified xsi:type="dcterms:W3CDTF">2025-07-21T00:47:59Z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eyJoZGlkIjoiODcwNmJkMDNkNGRiZDFlNGI3MWU3OGFiNGU3NTZjOGUiLCJ1c2VySWQiOiIyODYyNzI1MzEifQ==</vt:lpwstr>
  </property>
  <property fmtid="{D5CDD505-2E9C-101B-9397-08002B2CF9AE}" pid="4" name="ICV">
    <vt:lpwstr>D08C7593E6E749718362916CBBB7D47D_12</vt:lpwstr>
  </property>
</Properties>
</file>